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CC" w:rsidRDefault="003E198A" w:rsidP="00877069">
      <w:pPr>
        <w:spacing w:line="360" w:lineRule="auto"/>
        <w:jc w:val="center"/>
        <w:rPr>
          <w:b/>
          <w:sz w:val="32"/>
          <w:szCs w:val="32"/>
        </w:rPr>
      </w:pPr>
      <w:r w:rsidRPr="003E198A">
        <w:rPr>
          <w:b/>
          <w:sz w:val="32"/>
          <w:szCs w:val="32"/>
        </w:rPr>
        <w:t>Žádost o zapsání do dodatku stálého seznamu voličů</w:t>
      </w:r>
    </w:p>
    <w:p w:rsidR="003E198A" w:rsidRDefault="003E198A" w:rsidP="003E198A">
      <w:pPr>
        <w:spacing w:line="360" w:lineRule="auto"/>
        <w:rPr>
          <w:b/>
          <w:sz w:val="32"/>
          <w:szCs w:val="32"/>
        </w:rPr>
      </w:pPr>
    </w:p>
    <w:p w:rsidR="003E198A" w:rsidRDefault="00877069" w:rsidP="003E19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Tímto ž</w:t>
      </w:r>
      <w:r w:rsidR="003E198A" w:rsidRPr="003E198A">
        <w:rPr>
          <w:sz w:val="24"/>
          <w:szCs w:val="24"/>
        </w:rPr>
        <w:t>ádám</w:t>
      </w:r>
      <w:r w:rsidR="003E198A">
        <w:rPr>
          <w:sz w:val="24"/>
          <w:szCs w:val="24"/>
        </w:rPr>
        <w:t xml:space="preserve"> o zapsání do dodatku stálého seznamu voličů dle § 77 zákona č. 491/2001 Sb., o volbách do zastupitelstev obcí</w:t>
      </w:r>
      <w:r>
        <w:rPr>
          <w:sz w:val="24"/>
          <w:szCs w:val="24"/>
        </w:rPr>
        <w:t xml:space="preserve"> a o změně některých zákonů</w:t>
      </w:r>
      <w:r w:rsidR="003E198A">
        <w:rPr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3E198A" w:rsidTr="000736DD">
        <w:trPr>
          <w:trHeight w:val="567"/>
        </w:trPr>
        <w:tc>
          <w:tcPr>
            <w:tcW w:w="1737" w:type="pct"/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Jméno:</w:t>
            </w:r>
          </w:p>
        </w:tc>
        <w:tc>
          <w:tcPr>
            <w:tcW w:w="3263" w:type="pct"/>
            <w:tcBorders>
              <w:bottom w:val="dotted" w:sz="8" w:space="0" w:color="auto"/>
            </w:tcBorders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</w:p>
        </w:tc>
      </w:tr>
      <w:tr w:rsidR="003E198A" w:rsidTr="000736DD">
        <w:trPr>
          <w:trHeight w:val="567"/>
        </w:trPr>
        <w:tc>
          <w:tcPr>
            <w:tcW w:w="1737" w:type="pct"/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Příjmení:</w:t>
            </w:r>
          </w:p>
        </w:tc>
        <w:tc>
          <w:tcPr>
            <w:tcW w:w="3263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</w:p>
        </w:tc>
      </w:tr>
      <w:tr w:rsidR="003E198A" w:rsidTr="000736DD">
        <w:trPr>
          <w:trHeight w:val="567"/>
        </w:trPr>
        <w:tc>
          <w:tcPr>
            <w:tcW w:w="1737" w:type="pct"/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3263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</w:p>
        </w:tc>
      </w:tr>
      <w:tr w:rsidR="003E198A" w:rsidTr="000736DD">
        <w:trPr>
          <w:trHeight w:val="567"/>
        </w:trPr>
        <w:tc>
          <w:tcPr>
            <w:tcW w:w="1737" w:type="pct"/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občanství:</w:t>
            </w:r>
          </w:p>
        </w:tc>
        <w:tc>
          <w:tcPr>
            <w:tcW w:w="3263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E198A" w:rsidRDefault="003E198A" w:rsidP="008E19B6">
            <w:pPr>
              <w:rPr>
                <w:sz w:val="24"/>
                <w:szCs w:val="24"/>
              </w:rPr>
            </w:pPr>
          </w:p>
        </w:tc>
      </w:tr>
      <w:tr w:rsidR="00877069" w:rsidTr="000736DD">
        <w:trPr>
          <w:trHeight w:val="567"/>
        </w:trPr>
        <w:tc>
          <w:tcPr>
            <w:tcW w:w="1737" w:type="pct"/>
            <w:vAlign w:val="bottom"/>
          </w:tcPr>
          <w:p w:rsidR="00877069" w:rsidRDefault="00877069" w:rsidP="008E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pobytu</w:t>
            </w:r>
            <w:r w:rsidR="008E19B6">
              <w:rPr>
                <w:sz w:val="24"/>
                <w:szCs w:val="24"/>
              </w:rPr>
              <w:t xml:space="preserve"> na území ČR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63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77069" w:rsidRDefault="00877069" w:rsidP="008E19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7069" w:rsidTr="000736DD">
        <w:trPr>
          <w:trHeight w:val="567"/>
        </w:trPr>
        <w:tc>
          <w:tcPr>
            <w:tcW w:w="1737" w:type="pct"/>
            <w:vAlign w:val="bottom"/>
          </w:tcPr>
          <w:p w:rsidR="00877069" w:rsidRDefault="00877069" w:rsidP="008E19B6">
            <w:pPr>
              <w:rPr>
                <w:sz w:val="24"/>
                <w:szCs w:val="24"/>
              </w:rPr>
            </w:pPr>
          </w:p>
        </w:tc>
        <w:tc>
          <w:tcPr>
            <w:tcW w:w="3263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77069" w:rsidRDefault="00877069" w:rsidP="008E19B6">
            <w:pPr>
              <w:rPr>
                <w:sz w:val="24"/>
                <w:szCs w:val="24"/>
              </w:rPr>
            </w:pPr>
          </w:p>
        </w:tc>
      </w:tr>
      <w:tr w:rsidR="008E19B6" w:rsidTr="000736DD">
        <w:trPr>
          <w:trHeight w:val="567"/>
        </w:trPr>
        <w:tc>
          <w:tcPr>
            <w:tcW w:w="1737" w:type="pct"/>
            <w:vAlign w:val="bottom"/>
          </w:tcPr>
          <w:p w:rsidR="008E19B6" w:rsidRDefault="008E19B6" w:rsidP="008E19B6">
            <w:pPr>
              <w:rPr>
                <w:sz w:val="24"/>
                <w:szCs w:val="24"/>
              </w:rPr>
            </w:pPr>
          </w:p>
        </w:tc>
        <w:tc>
          <w:tcPr>
            <w:tcW w:w="3263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E19B6" w:rsidRDefault="008E19B6" w:rsidP="008E19B6">
            <w:pPr>
              <w:rPr>
                <w:sz w:val="24"/>
                <w:szCs w:val="24"/>
              </w:rPr>
            </w:pPr>
          </w:p>
        </w:tc>
      </w:tr>
    </w:tbl>
    <w:p w:rsidR="004D2B80" w:rsidRDefault="004D2B80" w:rsidP="003E198A">
      <w:pPr>
        <w:spacing w:line="360" w:lineRule="auto"/>
        <w:rPr>
          <w:sz w:val="24"/>
          <w:szCs w:val="24"/>
        </w:rPr>
      </w:pPr>
    </w:p>
    <w:p w:rsidR="00877069" w:rsidRPr="008E19B6" w:rsidRDefault="008E19B6" w:rsidP="003E198A">
      <w:pPr>
        <w:spacing w:line="360" w:lineRule="auto"/>
        <w:rPr>
          <w:i/>
          <w:sz w:val="24"/>
          <w:szCs w:val="24"/>
        </w:rPr>
      </w:pPr>
      <w:r w:rsidRPr="008E19B6">
        <w:rPr>
          <w:i/>
          <w:sz w:val="24"/>
          <w:szCs w:val="24"/>
        </w:rPr>
        <w:t>Poznámka: v</w:t>
      </w:r>
      <w:r>
        <w:rPr>
          <w:i/>
          <w:sz w:val="24"/>
          <w:szCs w:val="24"/>
        </w:rPr>
        <w:t> případě, že žadatel uvedl adresu přechodného pobytu namísto trvalého</w:t>
      </w:r>
      <w:r w:rsidRPr="008E19B6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lze ho </w:t>
      </w:r>
      <w:r w:rsidR="004D2B80">
        <w:rPr>
          <w:i/>
          <w:sz w:val="24"/>
          <w:szCs w:val="24"/>
        </w:rPr>
        <w:t xml:space="preserve">do dodatku seznamu voličů </w:t>
      </w:r>
      <w:r>
        <w:rPr>
          <w:i/>
          <w:sz w:val="24"/>
          <w:szCs w:val="24"/>
        </w:rPr>
        <w:t xml:space="preserve">zapsat, protože má </w:t>
      </w:r>
      <w:r w:rsidR="004D2B80">
        <w:rPr>
          <w:i/>
          <w:sz w:val="24"/>
          <w:szCs w:val="24"/>
        </w:rPr>
        <w:t>na základě</w:t>
      </w:r>
      <w:r>
        <w:rPr>
          <w:i/>
          <w:sz w:val="24"/>
          <w:szCs w:val="24"/>
        </w:rPr>
        <w:t xml:space="preserve"> člán</w:t>
      </w:r>
      <w:r w:rsidRPr="008E19B6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u 20 </w:t>
      </w:r>
      <w:r w:rsidR="004D2B80">
        <w:rPr>
          <w:i/>
          <w:sz w:val="24"/>
          <w:szCs w:val="24"/>
        </w:rPr>
        <w:t>K</w:t>
      </w:r>
      <w:r w:rsidRPr="008E19B6">
        <w:rPr>
          <w:i/>
          <w:sz w:val="24"/>
          <w:szCs w:val="24"/>
        </w:rPr>
        <w:t>onsolidovaného znění Smlouvy o fungování E</w:t>
      </w:r>
      <w:r w:rsidR="004D2B80">
        <w:rPr>
          <w:i/>
          <w:sz w:val="24"/>
          <w:szCs w:val="24"/>
        </w:rPr>
        <w:t>vropské unie</w:t>
      </w:r>
      <w:r>
        <w:rPr>
          <w:i/>
          <w:sz w:val="24"/>
          <w:szCs w:val="24"/>
        </w:rPr>
        <w:t xml:space="preserve"> </w:t>
      </w:r>
      <w:r w:rsidR="004D2B80">
        <w:rPr>
          <w:i/>
          <w:sz w:val="24"/>
          <w:szCs w:val="24"/>
        </w:rPr>
        <w:t xml:space="preserve">jakožto občan EU </w:t>
      </w:r>
      <w:r>
        <w:rPr>
          <w:i/>
          <w:sz w:val="24"/>
          <w:szCs w:val="24"/>
        </w:rPr>
        <w:t>stejná práva</w:t>
      </w:r>
      <w:r w:rsidR="004D2B80">
        <w:rPr>
          <w:i/>
          <w:sz w:val="24"/>
          <w:szCs w:val="24"/>
        </w:rPr>
        <w:t xml:space="preserve"> a povinnosti</w:t>
      </w:r>
      <w:r>
        <w:rPr>
          <w:i/>
          <w:sz w:val="24"/>
          <w:szCs w:val="24"/>
        </w:rPr>
        <w:t xml:space="preserve"> jako </w:t>
      </w:r>
      <w:r w:rsidR="004D2B80">
        <w:rPr>
          <w:i/>
          <w:sz w:val="24"/>
          <w:szCs w:val="24"/>
        </w:rPr>
        <w:t>občané ČR</w:t>
      </w:r>
      <w:r w:rsidRPr="008E19B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Tuto skutečnost potvrdil judiká</w:t>
      </w:r>
      <w:r w:rsidR="004D2B80">
        <w:rPr>
          <w:i/>
          <w:sz w:val="24"/>
          <w:szCs w:val="24"/>
        </w:rPr>
        <w:t>t 64A 6/2014-20 K</w:t>
      </w:r>
      <w:r>
        <w:rPr>
          <w:i/>
          <w:sz w:val="24"/>
          <w:szCs w:val="24"/>
        </w:rPr>
        <w:t xml:space="preserve">rajského soudu v Brně </w:t>
      </w:r>
      <w:r w:rsidR="004D2B80">
        <w:rPr>
          <w:i/>
          <w:sz w:val="24"/>
          <w:szCs w:val="24"/>
        </w:rPr>
        <w:t>a rovněž ji zavádí aktuální metodické stanovisko Ministerstva vnitra týkající se volebního práva občanů členských států EU ve volbách do zastupitelstev obcí</w:t>
      </w:r>
      <w:r>
        <w:rPr>
          <w:i/>
          <w:sz w:val="24"/>
          <w:szCs w:val="24"/>
        </w:rPr>
        <w:t>.</w:t>
      </w:r>
      <w:r w:rsidR="004D2B80">
        <w:rPr>
          <w:i/>
          <w:sz w:val="24"/>
          <w:szCs w:val="24"/>
        </w:rPr>
        <w:t xml:space="preserve"> Toto stanovisko zároveň ukládá obecnímu úřadu povinnost ověřit údaje o státním občanství u Ředitelství služby cizinecké policie v případě, že občan jiného členského státu EU tyto skutečnosti sám neprokáže předložením příslušných dokladů.</w:t>
      </w:r>
    </w:p>
    <w:sectPr w:rsidR="00877069" w:rsidRPr="008E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A"/>
    <w:rsid w:val="000736DD"/>
    <w:rsid w:val="003E198A"/>
    <w:rsid w:val="004D2B80"/>
    <w:rsid w:val="00877069"/>
    <w:rsid w:val="008E19B6"/>
    <w:rsid w:val="00A918AB"/>
    <w:rsid w:val="00C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4F17-79C4-4C46-8FAB-9F2B433E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Mises</dc:creator>
  <cp:lastModifiedBy>Pavel Mises</cp:lastModifiedBy>
  <cp:revision>2</cp:revision>
  <cp:lastPrinted>2018-09-21T11:56:00Z</cp:lastPrinted>
  <dcterms:created xsi:type="dcterms:W3CDTF">2018-09-21T11:06:00Z</dcterms:created>
  <dcterms:modified xsi:type="dcterms:W3CDTF">2018-09-21T11:57:00Z</dcterms:modified>
</cp:coreProperties>
</file>